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B8" w:rsidRDefault="000018B8" w:rsidP="006D684C">
      <w:pPr>
        <w:autoSpaceDE w:val="0"/>
        <w:autoSpaceDN w:val="0"/>
        <w:adjustRightInd w:val="0"/>
        <w:spacing w:after="0" w:line="240" w:lineRule="auto"/>
        <w:ind w:firstLine="709"/>
        <w:jc w:val="right"/>
        <w:outlineLvl w:val="0"/>
        <w:rPr>
          <w:rFonts w:ascii="Times New Roman" w:hAnsi="Times New Roman"/>
          <w:sz w:val="24"/>
          <w:szCs w:val="24"/>
        </w:rPr>
      </w:pPr>
      <w:bookmarkStart w:id="0" w:name="_GoBack"/>
      <w:bookmarkEnd w:id="0"/>
    </w:p>
    <w:p w:rsidR="006D684C" w:rsidRPr="00AE10E3" w:rsidRDefault="006D684C" w:rsidP="006D684C">
      <w:pPr>
        <w:autoSpaceDE w:val="0"/>
        <w:autoSpaceDN w:val="0"/>
        <w:adjustRightInd w:val="0"/>
        <w:spacing w:after="0" w:line="240" w:lineRule="auto"/>
        <w:ind w:firstLine="709"/>
        <w:jc w:val="right"/>
        <w:outlineLvl w:val="0"/>
        <w:rPr>
          <w:rFonts w:ascii="Times New Roman" w:hAnsi="Times New Roman"/>
          <w:sz w:val="24"/>
          <w:szCs w:val="24"/>
        </w:rPr>
      </w:pPr>
      <w:r w:rsidRPr="00AE10E3">
        <w:rPr>
          <w:rFonts w:ascii="Times New Roman" w:hAnsi="Times New Roman"/>
          <w:sz w:val="24"/>
          <w:szCs w:val="24"/>
        </w:rPr>
        <w:t>Приложение № 1</w:t>
      </w:r>
    </w:p>
    <w:p w:rsidR="006D684C" w:rsidRPr="00AE10E3" w:rsidRDefault="006D684C" w:rsidP="006D684C">
      <w:pPr>
        <w:autoSpaceDE w:val="0"/>
        <w:autoSpaceDN w:val="0"/>
        <w:adjustRightInd w:val="0"/>
        <w:spacing w:after="0" w:line="240" w:lineRule="auto"/>
        <w:ind w:firstLine="709"/>
        <w:jc w:val="right"/>
        <w:rPr>
          <w:rFonts w:ascii="Times New Roman" w:hAnsi="Times New Roman"/>
          <w:sz w:val="24"/>
          <w:szCs w:val="24"/>
        </w:rPr>
      </w:pPr>
      <w:r w:rsidRPr="00AE10E3">
        <w:rPr>
          <w:rFonts w:ascii="Times New Roman" w:hAnsi="Times New Roman"/>
          <w:sz w:val="24"/>
          <w:szCs w:val="24"/>
        </w:rPr>
        <w:t>к положению о закупк</w:t>
      </w:r>
      <w:r w:rsidR="004A720D">
        <w:rPr>
          <w:rFonts w:ascii="Times New Roman" w:hAnsi="Times New Roman"/>
          <w:sz w:val="24"/>
          <w:szCs w:val="24"/>
        </w:rPr>
        <w:t>е</w:t>
      </w:r>
      <w:r w:rsidRPr="00AE10E3">
        <w:rPr>
          <w:rFonts w:ascii="Times New Roman" w:hAnsi="Times New Roman"/>
          <w:sz w:val="24"/>
          <w:szCs w:val="24"/>
        </w:rPr>
        <w:t xml:space="preserve"> товаров</w:t>
      </w:r>
      <w:r w:rsidR="00980F57">
        <w:rPr>
          <w:rFonts w:ascii="Times New Roman" w:hAnsi="Times New Roman"/>
          <w:sz w:val="24"/>
          <w:szCs w:val="24"/>
        </w:rPr>
        <w:t>,</w:t>
      </w:r>
      <w:r w:rsidRPr="00AE10E3">
        <w:rPr>
          <w:rFonts w:ascii="Times New Roman" w:hAnsi="Times New Roman"/>
          <w:sz w:val="24"/>
          <w:szCs w:val="24"/>
        </w:rPr>
        <w:t xml:space="preserve"> работ, услуг</w:t>
      </w:r>
    </w:p>
    <w:p w:rsidR="006D684C" w:rsidRPr="00AE10E3" w:rsidRDefault="004B349E" w:rsidP="006D684C">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ГАСУ НСО «ОДМ»</w:t>
      </w:r>
    </w:p>
    <w:p w:rsidR="006D684C" w:rsidRPr="00AE10E3" w:rsidRDefault="006D684C" w:rsidP="006D684C">
      <w:pPr>
        <w:pStyle w:val="ConsPlusNormal"/>
        <w:ind w:left="1320"/>
        <w:jc w:val="both"/>
        <w:rPr>
          <w:rFonts w:eastAsia="Calibri"/>
          <w:sz w:val="28"/>
          <w:szCs w:val="28"/>
        </w:rPr>
      </w:pP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ПРАВИЛА</w:t>
      </w: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ОЦЕНКИ ЗАЯВОК, ОКОНЧАТЕЛЬНЫХ ПРЕДЛОЖЕНИЙ УЧАСТНИКОВ ЗАКУПКИ</w:t>
      </w: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 xml:space="preserve">ТОВАРОВ, РАБОТ, УСЛУГ </w:t>
      </w:r>
    </w:p>
    <w:p w:rsidR="006D684C" w:rsidRPr="00AE10E3" w:rsidRDefault="006D684C" w:rsidP="006D684C">
      <w:pPr>
        <w:autoSpaceDE w:val="0"/>
        <w:autoSpaceDN w:val="0"/>
        <w:adjustRightInd w:val="0"/>
        <w:spacing w:after="0" w:line="240" w:lineRule="auto"/>
        <w:rPr>
          <w:rFonts w:ascii="Times New Roman" w:hAnsi="Times New Roman"/>
          <w:sz w:val="24"/>
          <w:szCs w:val="24"/>
          <w:lang w:eastAsia="ru-RU"/>
        </w:rPr>
      </w:pPr>
    </w:p>
    <w:p w:rsidR="006D684C" w:rsidRPr="00AE10E3" w:rsidRDefault="006D684C" w:rsidP="00B25CE2">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 Общие положения</w:t>
      </w:r>
    </w:p>
    <w:p w:rsidR="006D684C" w:rsidRPr="00AE10E3" w:rsidRDefault="006D684C" w:rsidP="004E5543">
      <w:pPr>
        <w:autoSpaceDE w:val="0"/>
        <w:autoSpaceDN w:val="0"/>
        <w:adjustRightInd w:val="0"/>
        <w:spacing w:after="0" w:line="240" w:lineRule="auto"/>
        <w:ind w:firstLine="709"/>
        <w:jc w:val="center"/>
        <w:rPr>
          <w:rFonts w:ascii="Times New Roman" w:hAnsi="Times New Roman"/>
          <w:sz w:val="24"/>
          <w:szCs w:val="24"/>
          <w:lang w:eastAsia="ru-RU"/>
        </w:rPr>
      </w:pP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xml:space="preserve">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3. В настоящих Правилах применяются следующие термины:</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указанных в заявках (предложениях) участников закупки, которые не были отклонены;</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 w:name="Par17"/>
      <w:bookmarkEnd w:id="1"/>
      <w:r w:rsidRPr="00AE10E3">
        <w:rPr>
          <w:rFonts w:ascii="Times New Roman" w:hAnsi="Times New Roman"/>
          <w:sz w:val="24"/>
          <w:szCs w:val="24"/>
          <w:lang w:eastAsia="ru-RU"/>
        </w:rPr>
        <w:t>4. В целях настоящих Правил для оценки заявок (предложений) заказчик устанавливает в документации о закупке следующие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i/>
          <w:sz w:val="24"/>
          <w:szCs w:val="24"/>
          <w:lang w:eastAsia="ru-RU"/>
        </w:rPr>
      </w:pPr>
      <w:r w:rsidRPr="00AE10E3">
        <w:rPr>
          <w:rFonts w:ascii="Times New Roman" w:hAnsi="Times New Roman"/>
          <w:i/>
          <w:sz w:val="24"/>
          <w:szCs w:val="24"/>
          <w:lang w:eastAsia="ru-RU"/>
        </w:rPr>
        <w:t>а) характеризующиеся как стоимостные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расходы на эксплуатацию и ремонт товаров (объектов), использование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стоимость жизненного цикла товара (объекта), созданного в результате выполнения работы в случаях, предусмотренных пунктом 5 настоящих Правил (далее -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предложение о сумме соответствующих расходов заказчика, которые заказчик осуществит или понесет по энергосервисному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у;</w:t>
      </w:r>
    </w:p>
    <w:p w:rsidR="006D684C" w:rsidRPr="00AE10E3" w:rsidRDefault="006D684C" w:rsidP="004E5543">
      <w:pPr>
        <w:autoSpaceDE w:val="0"/>
        <w:autoSpaceDN w:val="0"/>
        <w:adjustRightInd w:val="0"/>
        <w:spacing w:after="0" w:line="240" w:lineRule="auto"/>
        <w:ind w:firstLine="709"/>
        <w:jc w:val="both"/>
        <w:rPr>
          <w:rFonts w:ascii="Times New Roman" w:hAnsi="Times New Roman"/>
          <w:i/>
          <w:sz w:val="24"/>
          <w:szCs w:val="24"/>
          <w:lang w:eastAsia="ru-RU"/>
        </w:rPr>
      </w:pPr>
      <w:r w:rsidRPr="00AE10E3">
        <w:rPr>
          <w:rFonts w:ascii="Times New Roman" w:hAnsi="Times New Roman"/>
          <w:i/>
          <w:sz w:val="24"/>
          <w:szCs w:val="24"/>
          <w:lang w:eastAsia="ru-RU"/>
        </w:rPr>
        <w:t>б) характеризующиеся как нестоимостные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качественные, функциональные и экологические характеристики объекта закупки;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и деловой репутации, специалистов и иных работников определенного уровня квалификации.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2" w:name="Par28"/>
      <w:bookmarkEnd w:id="2"/>
      <w:r w:rsidRPr="00AE10E3">
        <w:rPr>
          <w:rFonts w:ascii="Times New Roman" w:hAnsi="Times New Roman"/>
          <w:sz w:val="24"/>
          <w:szCs w:val="24"/>
          <w:lang w:eastAsia="ru-RU"/>
        </w:rPr>
        <w:lastRenderedPageBreak/>
        <w:t xml:space="preserve">5. В случае осуществления закупки, по результатам которой заключается </w:t>
      </w:r>
      <w:r w:rsidR="00F37BB5" w:rsidRPr="00AE10E3">
        <w:rPr>
          <w:rFonts w:ascii="Times New Roman" w:hAnsi="Times New Roman"/>
          <w:sz w:val="24"/>
          <w:szCs w:val="24"/>
          <w:lang w:eastAsia="ru-RU"/>
        </w:rPr>
        <w:t>договор</w:t>
      </w:r>
      <w:r w:rsidRPr="00AE10E3">
        <w:rPr>
          <w:rFonts w:ascii="Times New Roman" w:hAnsi="Times New Roman"/>
          <w:sz w:val="24"/>
          <w:szCs w:val="24"/>
          <w:lang w:eastAsia="ru-RU"/>
        </w:rPr>
        <w:t>,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3" w:name="Par29"/>
      <w:bookmarkEnd w:id="3"/>
      <w:r w:rsidRPr="00AE10E3">
        <w:rPr>
          <w:rFonts w:ascii="Times New Roman" w:hAnsi="Times New Roman"/>
          <w:sz w:val="24"/>
          <w:szCs w:val="24"/>
          <w:lang w:eastAsia="ru-RU"/>
        </w:rPr>
        <w:t xml:space="preserve">6. Использование критерия оценки "расходы на эксплуатацию и ремонт товаров (объектов), использование результатов работ" возможно только в том случае, если </w:t>
      </w:r>
      <w:r w:rsidR="00F37BB5" w:rsidRPr="00AE10E3">
        <w:rPr>
          <w:rFonts w:ascii="Times New Roman" w:hAnsi="Times New Roman"/>
          <w:sz w:val="24"/>
          <w:szCs w:val="24"/>
          <w:lang w:eastAsia="ru-RU"/>
        </w:rPr>
        <w:t>договором</w:t>
      </w:r>
      <w:r w:rsidRPr="00AE10E3">
        <w:rPr>
          <w:rFonts w:ascii="Times New Roman" w:hAnsi="Times New Roman"/>
          <w:sz w:val="24"/>
          <w:szCs w:val="24"/>
          <w:lang w:eastAsia="ru-RU"/>
        </w:rPr>
        <w:t xml:space="preserve">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7. Оценка в соответствии с пунктом 6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а в случаях, предусмотренных пунктом 5 настоящих Правил, - критерий оценки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4" w:name="Par32"/>
      <w:bookmarkEnd w:id="4"/>
      <w:r w:rsidRPr="00AE10E3">
        <w:rPr>
          <w:rFonts w:ascii="Times New Roman" w:hAnsi="Times New Roman"/>
          <w:sz w:val="24"/>
          <w:szCs w:val="24"/>
          <w:lang w:eastAsia="ru-RU"/>
        </w:rPr>
        <w:t xml:space="preserve">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5" w:name="Par33"/>
      <w:bookmarkEnd w:id="5"/>
      <w:r w:rsidRPr="00AE10E3">
        <w:rPr>
          <w:rFonts w:ascii="Times New Roman" w:hAnsi="Times New Roman"/>
          <w:sz w:val="24"/>
          <w:szCs w:val="24"/>
          <w:lang w:eastAsia="ru-RU"/>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11. Для оценки заявок (предложений) по каждому критерию оценки используется 100-балльная шкала оценки. Если в соответствии с пунктом 10 настоящих Правил в отношении критерия оценки в </w:t>
      </w:r>
      <w:r w:rsidRPr="000018B8">
        <w:rPr>
          <w:rFonts w:ascii="Times New Roman" w:hAnsi="Times New Roman"/>
          <w:sz w:val="24"/>
          <w:szCs w:val="24"/>
          <w:lang w:eastAsia="ru-RU"/>
        </w:rPr>
        <w:t>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6" w:name="Par35"/>
      <w:bookmarkEnd w:id="6"/>
      <w:r w:rsidRPr="000018B8">
        <w:rPr>
          <w:rFonts w:ascii="Times New Roman" w:hAnsi="Times New Roman"/>
          <w:sz w:val="24"/>
          <w:szCs w:val="24"/>
          <w:lang w:eastAsia="ru-RU"/>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hAnsi="Times New Roman"/>
          <w:sz w:val="24"/>
          <w:szCs w:val="24"/>
          <w:lang w:eastAsia="ru-RU"/>
        </w:rPr>
        <w:t>Сумма величин значимости показателей критерия оценки должна составлять 100 процентов.</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hAnsi="Times New Roman"/>
          <w:sz w:val="24"/>
          <w:szCs w:val="24"/>
          <w:lang w:eastAsia="ru-RU"/>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AC4186" w:rsidRPr="000018B8"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sidRPr="000018B8">
        <w:rPr>
          <w:rFonts w:ascii="Times New Roman" w:eastAsiaTheme="minorHAnsi" w:hAnsi="Times New Roman"/>
          <w:sz w:val="24"/>
          <w:szCs w:val="24"/>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w:t>
      </w:r>
      <w:r w:rsidRPr="000018B8">
        <w:rPr>
          <w:rFonts w:ascii="Times New Roman" w:eastAsiaTheme="minorHAnsi" w:hAnsi="Times New Roman"/>
          <w:sz w:val="24"/>
          <w:szCs w:val="24"/>
        </w:rPr>
        <w:lastRenderedPageBreak/>
        <w:t>стоимостных критериев оценки - 40 процентов, значимость нестоимостных критериев оценки - 60 процентов.</w:t>
      </w:r>
    </w:p>
    <w:p w:rsidR="00AC4186" w:rsidRPr="000018B8"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sidRPr="000018B8">
        <w:rPr>
          <w:rFonts w:ascii="Times New Roman" w:eastAsiaTheme="minorHAnsi" w:hAnsi="Times New Roman"/>
          <w:sz w:val="24"/>
          <w:szCs w:val="24"/>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r:id="rId8" w:history="1">
        <w:r w:rsidRPr="000018B8">
          <w:rPr>
            <w:rStyle w:val="a3"/>
            <w:rFonts w:ascii="Times New Roman" w:eastAsiaTheme="minorHAnsi" w:hAnsi="Times New Roman"/>
            <w:color w:val="0000FF"/>
            <w:sz w:val="24"/>
            <w:szCs w:val="24"/>
          </w:rPr>
          <w:t>пункте 2</w:t>
        </w:r>
        <w:r w:rsidR="00B731F2" w:rsidRPr="000018B8">
          <w:rPr>
            <w:rStyle w:val="a3"/>
            <w:rFonts w:ascii="Times New Roman" w:eastAsiaTheme="minorHAnsi" w:hAnsi="Times New Roman"/>
            <w:color w:val="0000FF"/>
            <w:sz w:val="24"/>
            <w:szCs w:val="24"/>
          </w:rPr>
          <w:t>6</w:t>
        </w:r>
        <w:r w:rsidRPr="000018B8">
          <w:rPr>
            <w:rStyle w:val="a3"/>
            <w:rFonts w:ascii="Times New Roman" w:eastAsiaTheme="minorHAnsi" w:hAnsi="Times New Roman"/>
            <w:color w:val="0000FF"/>
            <w:sz w:val="24"/>
            <w:szCs w:val="24"/>
          </w:rPr>
          <w:t>(2)</w:t>
        </w:r>
      </w:hyperlink>
      <w:r w:rsidRPr="000018B8">
        <w:rPr>
          <w:rFonts w:ascii="Times New Roman" w:eastAsiaTheme="minorHAnsi" w:hAnsi="Times New Roman"/>
          <w:sz w:val="24"/>
          <w:szCs w:val="24"/>
        </w:rPr>
        <w:t xml:space="preserve"> настоящих Правил.</w:t>
      </w:r>
    </w:p>
    <w:p w:rsidR="00AC4186" w:rsidRPr="00AE10E3" w:rsidRDefault="00AC4186"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eastAsiaTheme="minorHAnsi" w:hAnsi="Times New Roman"/>
          <w:sz w:val="24"/>
          <w:szCs w:val="24"/>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подпункте "б" пункта 2</w:t>
      </w:r>
      <w:r w:rsidR="00B731F2" w:rsidRPr="000018B8">
        <w:rPr>
          <w:rFonts w:ascii="Times New Roman" w:eastAsiaTheme="minorHAnsi" w:hAnsi="Times New Roman"/>
          <w:sz w:val="24"/>
          <w:szCs w:val="24"/>
        </w:rPr>
        <w:t>6</w:t>
      </w:r>
      <w:r w:rsidRPr="000018B8">
        <w:rPr>
          <w:rFonts w:ascii="Times New Roman" w:eastAsiaTheme="minorHAnsi" w:hAnsi="Times New Roman"/>
          <w:sz w:val="24"/>
          <w:szCs w:val="24"/>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AC4186" w:rsidRDefault="006D684C" w:rsidP="004E5543">
      <w:pPr>
        <w:autoSpaceDE w:val="0"/>
        <w:autoSpaceDN w:val="0"/>
        <w:adjustRightInd w:val="0"/>
        <w:spacing w:after="0" w:line="240" w:lineRule="auto"/>
        <w:ind w:firstLine="709"/>
        <w:jc w:val="both"/>
        <w:rPr>
          <w:rFonts w:ascii="Times New Roman" w:eastAsiaTheme="minorHAnsi" w:hAnsi="Times New Roman"/>
          <w:sz w:val="24"/>
          <w:szCs w:val="24"/>
        </w:rPr>
      </w:pPr>
      <w:bookmarkStart w:id="7" w:name="Par41"/>
      <w:bookmarkEnd w:id="7"/>
      <w:r w:rsidRPr="00AE10E3">
        <w:rPr>
          <w:rFonts w:ascii="Times New Roman" w:hAnsi="Times New Roman"/>
          <w:sz w:val="24"/>
          <w:szCs w:val="24"/>
          <w:lang w:eastAsia="ru-RU"/>
        </w:rPr>
        <w:t>1</w:t>
      </w:r>
      <w:r w:rsidR="00AC4186">
        <w:rPr>
          <w:rFonts w:ascii="Times New Roman" w:hAnsi="Times New Roman"/>
          <w:sz w:val="24"/>
          <w:szCs w:val="24"/>
          <w:lang w:eastAsia="ru-RU"/>
        </w:rPr>
        <w:t>2</w:t>
      </w:r>
      <w:r w:rsidRPr="00AE10E3">
        <w:rPr>
          <w:rFonts w:ascii="Times New Roman" w:hAnsi="Times New Roman"/>
          <w:sz w:val="24"/>
          <w:szCs w:val="24"/>
          <w:lang w:eastAsia="ru-RU"/>
        </w:rPr>
        <w:t xml:space="preserve">. </w:t>
      </w:r>
      <w:r w:rsidR="00AC4186">
        <w:rPr>
          <w:rFonts w:ascii="Times New Roman" w:eastAsiaTheme="minorHAnsi" w:hAnsi="Times New Roman"/>
          <w:sz w:val="24"/>
          <w:szCs w:val="24"/>
        </w:rPr>
        <w:t>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3</w:t>
      </w:r>
      <w:r w:rsidRPr="00AE10E3">
        <w:rPr>
          <w:rFonts w:ascii="Times New Roman" w:hAnsi="Times New Roman"/>
          <w:sz w:val="24"/>
          <w:szCs w:val="24"/>
          <w:lang w:eastAsia="ru-RU"/>
        </w:rPr>
        <w:t>. Итоговый рейтинг заявки (предложения) вычисляется как сумма рейтингов по каждому критерию оценки заявки (предложения).</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4</w:t>
      </w:r>
      <w:r w:rsidRPr="00AE10E3">
        <w:rPr>
          <w:rFonts w:ascii="Times New Roman" w:hAnsi="Times New Roman"/>
          <w:sz w:val="24"/>
          <w:szCs w:val="24"/>
          <w:lang w:eastAsia="ru-RU"/>
        </w:rPr>
        <w:t>.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II. Оценка заявок (предложений) по стоимостным</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критериям оценки</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5</w:t>
      </w:r>
      <w:r w:rsidRPr="00AE10E3">
        <w:rPr>
          <w:rFonts w:ascii="Times New Roman" w:hAnsi="Times New Roman"/>
          <w:sz w:val="24"/>
          <w:szCs w:val="24"/>
          <w:lang w:eastAsia="ru-RU"/>
        </w:rPr>
        <w:t xml:space="preserve">. Количество баллов, присуждаемых по критериям оценки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и "стоимость жизненного цикла" (ЦБ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а) в случае если Ц</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&gt; 0,</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770DA386" wp14:editId="61474C2E">
            <wp:extent cx="1243965" cy="520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6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30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б) в случае если Ц</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&lt; 0,</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31"/>
          <w:sz w:val="24"/>
          <w:szCs w:val="24"/>
          <w:lang w:eastAsia="ru-RU"/>
        </w:rPr>
        <w:drawing>
          <wp:inline distT="0" distB="0" distL="0" distR="0" wp14:anchorId="07426E56" wp14:editId="1A8F82C1">
            <wp:extent cx="1722755" cy="553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2755" cy="553085"/>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 Ц</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 xml:space="preserve"> - максимальное предложение из предложений по критерию, сделанных участниками закупки.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6</w:t>
      </w:r>
      <w:r w:rsidRPr="00AE10E3">
        <w:rPr>
          <w:rFonts w:ascii="Times New Roman" w:hAnsi="Times New Roman"/>
          <w:sz w:val="24"/>
          <w:szCs w:val="24"/>
          <w:lang w:eastAsia="ru-RU"/>
        </w:rPr>
        <w:t>.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Количество баллов, присуждаемых по критерию оценки "расходы на эксплуатацию и ремонт товаров (объектов), использование результатов работ" (ЦЭБ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0E97F1B8" wp14:editId="7620DDE2">
            <wp:extent cx="1477645" cy="52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64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7</w:t>
      </w:r>
      <w:r w:rsidRPr="00AE10E3">
        <w:rPr>
          <w:rFonts w:ascii="Times New Roman" w:hAnsi="Times New Roman"/>
          <w:sz w:val="24"/>
          <w:szCs w:val="24"/>
          <w:lang w:eastAsia="ru-RU"/>
        </w:rPr>
        <w:t>.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65ED1039" wp14:editId="529454EA">
            <wp:extent cx="988695" cy="52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n - число видов эксплуатационных расходов, учитываемых при оценке;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эр</w:t>
      </w:r>
      <w:r w:rsidRPr="00AE10E3">
        <w:rPr>
          <w:rFonts w:ascii="Times New Roman" w:hAnsi="Times New Roman"/>
          <w:sz w:val="24"/>
          <w:szCs w:val="24"/>
          <w:vertAlign w:val="subscript"/>
          <w:lang w:eastAsia="ru-RU"/>
        </w:rPr>
        <w:t>ti</w:t>
      </w:r>
      <w:r w:rsidRPr="00AE10E3">
        <w:rPr>
          <w:rFonts w:ascii="Times New Roman" w:hAnsi="Times New Roman"/>
          <w:sz w:val="24"/>
          <w:szCs w:val="24"/>
          <w:lang w:eastAsia="ru-RU"/>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8</w:t>
      </w:r>
      <w:r w:rsidRPr="00AE10E3">
        <w:rPr>
          <w:rFonts w:ascii="Times New Roman" w:hAnsi="Times New Roman"/>
          <w:sz w:val="24"/>
          <w:szCs w:val="24"/>
          <w:lang w:eastAsia="ru-RU"/>
        </w:rPr>
        <w:t xml:space="preserve">.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w:t>
      </w:r>
      <w:r w:rsidRPr="00AE10E3">
        <w:rPr>
          <w:rFonts w:ascii="Times New Roman" w:hAnsi="Times New Roman"/>
          <w:sz w:val="24"/>
          <w:szCs w:val="24"/>
          <w:lang w:eastAsia="ru-RU"/>
        </w:rPr>
        <w:lastRenderedPageBreak/>
        <w:t xml:space="preserve">критерия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увеличивается на величину значимости критерия "расходы на эксплуатацию и ремонт товаров (объектов), использование результатов работ".</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III. Оценка заявок (предложений) по нестоимостным</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критериям оценки</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AC4186" w:rsidP="004E5543">
      <w:pPr>
        <w:autoSpaceDE w:val="0"/>
        <w:autoSpaceDN w:val="0"/>
        <w:adjustRightInd w:val="0"/>
        <w:spacing w:after="0" w:line="240" w:lineRule="auto"/>
        <w:ind w:firstLine="539"/>
        <w:jc w:val="both"/>
        <w:rPr>
          <w:rFonts w:ascii="Times New Roman" w:hAnsi="Times New Roman"/>
          <w:sz w:val="24"/>
          <w:szCs w:val="24"/>
          <w:lang w:eastAsia="ru-RU"/>
        </w:rPr>
      </w:pPr>
      <w:bookmarkStart w:id="8" w:name="Par86"/>
      <w:bookmarkEnd w:id="8"/>
      <w:r>
        <w:rPr>
          <w:rFonts w:ascii="Times New Roman" w:hAnsi="Times New Roman"/>
          <w:sz w:val="24"/>
          <w:szCs w:val="24"/>
          <w:lang w:eastAsia="ru-RU"/>
        </w:rPr>
        <w:t>19</w:t>
      </w:r>
      <w:r w:rsidR="006D684C" w:rsidRPr="00AE10E3">
        <w:rPr>
          <w:rFonts w:ascii="Times New Roman" w:hAnsi="Times New Roman"/>
          <w:sz w:val="24"/>
          <w:szCs w:val="24"/>
          <w:lang w:eastAsia="ru-RU"/>
        </w:rPr>
        <w:t xml:space="preserve">. Оценка по нестоимостным критериям (показателям), за исключением случаев оценки по показателям, указанным в </w:t>
      </w:r>
      <w:hyperlink w:anchor="Par138" w:history="1">
        <w:r w:rsidR="006D684C" w:rsidRPr="00AE10E3">
          <w:rPr>
            <w:rFonts w:ascii="Times New Roman" w:hAnsi="Times New Roman"/>
            <w:sz w:val="24"/>
            <w:szCs w:val="24"/>
            <w:lang w:eastAsia="ru-RU"/>
          </w:rPr>
          <w:t>подпунктах "а"</w:t>
        </w:r>
      </w:hyperlink>
      <w:r w:rsidR="006D684C" w:rsidRPr="00AE10E3">
        <w:rPr>
          <w:rFonts w:ascii="Times New Roman" w:hAnsi="Times New Roman"/>
          <w:sz w:val="24"/>
          <w:szCs w:val="24"/>
          <w:lang w:eastAsia="ru-RU"/>
        </w:rPr>
        <w:t xml:space="preserve"> и </w:t>
      </w:r>
      <w:hyperlink w:anchor="Par140" w:history="1">
        <w:r w:rsidR="00B731F2" w:rsidRPr="00AE10E3">
          <w:rPr>
            <w:rFonts w:ascii="Times New Roman" w:hAnsi="Times New Roman"/>
            <w:sz w:val="24"/>
            <w:szCs w:val="24"/>
            <w:lang w:eastAsia="ru-RU"/>
          </w:rPr>
          <w:t>"в" пункта 2</w:t>
        </w:r>
        <w:r w:rsidR="00B731F2">
          <w:rPr>
            <w:rFonts w:ascii="Times New Roman" w:hAnsi="Times New Roman"/>
            <w:sz w:val="24"/>
            <w:szCs w:val="24"/>
            <w:lang w:eastAsia="ru-RU"/>
          </w:rPr>
          <w:t>4</w:t>
        </w:r>
      </w:hyperlink>
      <w:r w:rsidR="00B731F2" w:rsidRPr="00AE10E3">
        <w:rPr>
          <w:rFonts w:ascii="Times New Roman" w:hAnsi="Times New Roman"/>
          <w:sz w:val="24"/>
          <w:szCs w:val="24"/>
          <w:lang w:eastAsia="ru-RU"/>
        </w:rPr>
        <w:t xml:space="preserve"> </w:t>
      </w:r>
      <w:r w:rsidR="006D684C" w:rsidRPr="00AE10E3">
        <w:rPr>
          <w:rFonts w:ascii="Times New Roman" w:hAnsi="Times New Roman"/>
          <w:sz w:val="24"/>
          <w:szCs w:val="24"/>
          <w:lang w:eastAsia="ru-RU"/>
        </w:rPr>
        <w:t xml:space="preserve">настоящих Правил, и случаев, когда заказчиком установлена шкала оценки, осуществляется в порядке, установленном </w:t>
      </w:r>
      <w:hyperlink w:anchor="Par87" w:history="1">
        <w:r w:rsidR="00B731F2">
          <w:rPr>
            <w:rFonts w:ascii="Times New Roman" w:hAnsi="Times New Roman"/>
            <w:sz w:val="24"/>
            <w:szCs w:val="24"/>
            <w:lang w:eastAsia="ru-RU"/>
          </w:rPr>
          <w:t>пунктами</w:t>
        </w:r>
      </w:hyperlink>
      <w:r w:rsidR="00B731F2">
        <w:rPr>
          <w:rFonts w:ascii="Times New Roman" w:hAnsi="Times New Roman"/>
          <w:sz w:val="24"/>
          <w:szCs w:val="24"/>
          <w:lang w:eastAsia="ru-RU"/>
        </w:rPr>
        <w:t xml:space="preserve"> 20</w:t>
      </w:r>
      <w:r w:rsidR="006D684C" w:rsidRPr="00AE10E3">
        <w:rPr>
          <w:rFonts w:ascii="Times New Roman" w:hAnsi="Times New Roman"/>
          <w:sz w:val="24"/>
          <w:szCs w:val="24"/>
          <w:lang w:eastAsia="ru-RU"/>
        </w:rPr>
        <w:t xml:space="preserve"> - </w:t>
      </w:r>
      <w:hyperlink w:anchor="Par121" w:history="1">
        <w:r w:rsidR="00B731F2">
          <w:rPr>
            <w:rFonts w:ascii="Times New Roman" w:hAnsi="Times New Roman"/>
            <w:sz w:val="24"/>
            <w:szCs w:val="24"/>
            <w:lang w:eastAsia="ru-RU"/>
          </w:rPr>
          <w:t>23</w:t>
        </w:r>
      </w:hyperlink>
      <w:r w:rsidR="00B731F2" w:rsidRPr="00AE10E3">
        <w:rPr>
          <w:rFonts w:ascii="Times New Roman" w:hAnsi="Times New Roman"/>
          <w:sz w:val="24"/>
          <w:szCs w:val="24"/>
          <w:lang w:eastAsia="ru-RU"/>
        </w:rPr>
        <w:t xml:space="preserve"> </w:t>
      </w:r>
      <w:r w:rsidR="006D684C" w:rsidRPr="00AE10E3">
        <w:rPr>
          <w:rFonts w:ascii="Times New Roman" w:hAnsi="Times New Roman"/>
          <w:sz w:val="24"/>
          <w:szCs w:val="24"/>
          <w:lang w:eastAsia="ru-RU"/>
        </w:rPr>
        <w:t>настоящих Правил.</w:t>
      </w:r>
    </w:p>
    <w:p w:rsidR="006D684C" w:rsidRPr="00AE10E3" w:rsidRDefault="00AC4186" w:rsidP="004E5543">
      <w:pPr>
        <w:autoSpaceDE w:val="0"/>
        <w:autoSpaceDN w:val="0"/>
        <w:adjustRightInd w:val="0"/>
        <w:spacing w:after="0" w:line="240" w:lineRule="auto"/>
        <w:ind w:firstLine="539"/>
        <w:jc w:val="both"/>
        <w:rPr>
          <w:rFonts w:ascii="Times New Roman" w:hAnsi="Times New Roman"/>
          <w:sz w:val="24"/>
          <w:szCs w:val="24"/>
          <w:lang w:eastAsia="ru-RU"/>
        </w:rPr>
      </w:pPr>
      <w:bookmarkStart w:id="9" w:name="Par87"/>
      <w:bookmarkEnd w:id="9"/>
      <w:r>
        <w:rPr>
          <w:rFonts w:ascii="Times New Roman" w:hAnsi="Times New Roman"/>
          <w:sz w:val="24"/>
          <w:szCs w:val="24"/>
          <w:lang w:eastAsia="ru-RU"/>
        </w:rPr>
        <w:t>20</w:t>
      </w:r>
      <w:r w:rsidR="006D684C"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006D684C" w:rsidRPr="00AE10E3">
        <w:rPr>
          <w:rFonts w:ascii="Times New Roman" w:hAnsi="Times New Roman"/>
          <w:sz w:val="24"/>
          <w:szCs w:val="24"/>
          <w:lang w:eastAsia="ru-RU"/>
        </w:rPr>
        <w:t xml:space="preserve">а по критерию оценки (показателю) является наименьшее значение критерия оценки (показателя), за исключением случая, предусмотренного </w:t>
      </w:r>
      <w:r w:rsidR="00B731F2">
        <w:rPr>
          <w:rFonts w:ascii="Times New Roman" w:hAnsi="Times New Roman"/>
          <w:sz w:val="24"/>
          <w:szCs w:val="24"/>
          <w:lang w:eastAsia="ru-RU"/>
        </w:rPr>
        <w:t>пунктом 19</w:t>
      </w:r>
      <w:r w:rsidR="006D684C" w:rsidRPr="00AE10E3">
        <w:rPr>
          <w:rFonts w:ascii="Times New Roman" w:hAnsi="Times New Roman"/>
          <w:sz w:val="24"/>
          <w:szCs w:val="24"/>
          <w:lang w:eastAsia="ru-RU"/>
        </w:rPr>
        <w:t>настоящих Правил, количество баллов, присуждаемых по критерию оценки (показателю) (НЦБ</w:t>
      </w:r>
      <w:r w:rsidR="006D684C" w:rsidRPr="00AE10E3">
        <w:rPr>
          <w:rFonts w:ascii="Times New Roman" w:hAnsi="Times New Roman"/>
          <w:sz w:val="24"/>
          <w:szCs w:val="24"/>
          <w:vertAlign w:val="subscript"/>
          <w:lang w:eastAsia="ru-RU"/>
        </w:rPr>
        <w:t>i</w:t>
      </w:r>
      <w:r w:rsidR="006D684C"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КЗ x 100 x (К</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1</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наименьшее значение критерия оценки (показателя), при этом заказчиком в соответствии с </w:t>
      </w:r>
      <w:hyperlink w:anchor="Par35" w:history="1">
        <w:r w:rsidRPr="00AE10E3">
          <w:rPr>
            <w:rFonts w:ascii="Times New Roman" w:hAnsi="Times New Roman"/>
            <w:sz w:val="24"/>
            <w:szCs w:val="24"/>
            <w:lang w:eastAsia="ru-RU"/>
          </w:rPr>
          <w:t>абзацем вторым пункта 11</w:t>
        </w:r>
      </w:hyperlink>
      <w:r w:rsidRPr="00AE10E3">
        <w:rPr>
          <w:rFonts w:ascii="Times New Roman" w:hAnsi="Times New Roman"/>
          <w:sz w:val="24"/>
          <w:szCs w:val="24"/>
          <w:lang w:eastAsia="ru-RU"/>
        </w:rPr>
        <w:t xml:space="preserve"> настоящих Правил установлено предельно необходимое минимальное значение,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определяется: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а) в случае если К</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&gt; К</w:t>
      </w:r>
      <w:r w:rsidRPr="00AE10E3">
        <w:rPr>
          <w:rFonts w:ascii="Times New Roman" w:hAnsi="Times New Roman"/>
          <w:sz w:val="24"/>
          <w:szCs w:val="24"/>
          <w:vertAlign w:val="superscript"/>
          <w:lang w:eastAsia="ru-RU"/>
        </w:rPr>
        <w:t>пред</w:t>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КЗ x 100 x (К</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r w:rsidRPr="00AE10E3">
        <w:rPr>
          <w:rFonts w:ascii="Times New Roman" w:hAnsi="Times New Roman"/>
          <w:noProof/>
          <w:position w:val="-10"/>
          <w:sz w:val="24"/>
          <w:szCs w:val="24"/>
          <w:lang w:eastAsia="ru-RU"/>
        </w:rPr>
        <w:drawing>
          <wp:inline distT="0" distB="0" distL="0" distR="0" wp14:anchorId="1F8A78AA" wp14:editId="1E43DB91">
            <wp:extent cx="871855" cy="28702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1855" cy="287020"/>
                    </a:xfrm>
                    <a:prstGeom prst="rect">
                      <a:avLst/>
                    </a:prstGeom>
                    <a:noFill/>
                    <a:ln>
                      <a:noFill/>
                    </a:ln>
                  </pic:spPr>
                </pic:pic>
              </a:graphicData>
            </a:graphic>
          </wp:inline>
        </w:drawing>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КЗ x 100 x (К</w:t>
      </w:r>
      <w:r w:rsidRPr="00AE10E3">
        <w:rPr>
          <w:rFonts w:ascii="Times New Roman" w:hAnsi="Times New Roman"/>
          <w:sz w:val="24"/>
          <w:szCs w:val="24"/>
          <w:vertAlign w:val="superscript"/>
          <w:lang w:eastAsia="ru-RU"/>
        </w:rPr>
        <w:t>пред</w:t>
      </w:r>
      <w:r w:rsidRPr="00AE10E3">
        <w:rPr>
          <w:rFonts w:ascii="Times New Roman" w:hAnsi="Times New Roman"/>
          <w:sz w:val="24"/>
          <w:szCs w:val="24"/>
          <w:lang w:eastAsia="ru-RU"/>
        </w:rPr>
        <w:t xml:space="preserve"> / 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при этом НЦБ</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КЗ x 100,</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 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lastRenderedPageBreak/>
        <w:t>К</w:t>
      </w:r>
      <w:r w:rsidRPr="00AE10E3">
        <w:rPr>
          <w:rFonts w:ascii="Times New Roman" w:hAnsi="Times New Roman"/>
          <w:sz w:val="24"/>
          <w:szCs w:val="24"/>
          <w:vertAlign w:val="superscript"/>
          <w:lang w:eastAsia="ru-RU"/>
        </w:rPr>
        <w:t>пред</w:t>
      </w:r>
      <w:r w:rsidRPr="00AE10E3">
        <w:rPr>
          <w:rFonts w:ascii="Times New Roman" w:hAnsi="Times New Roman"/>
          <w:sz w:val="24"/>
          <w:szCs w:val="24"/>
          <w:lang w:eastAsia="ru-RU"/>
        </w:rPr>
        <w:t xml:space="preserve"> - предельно необходимое заказчику значение характеристик,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min</w:t>
      </w:r>
      <w:r w:rsidRPr="00AE10E3">
        <w:rPr>
          <w:rFonts w:ascii="Times New Roman" w:hAnsi="Times New Roman"/>
          <w:sz w:val="24"/>
          <w:szCs w:val="24"/>
          <w:lang w:eastAsia="ru-RU"/>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2</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наибольшее значение критерия оценки (показателя), за исключением случая, предусмотренного </w:t>
      </w:r>
      <w:r w:rsidR="00B731F2">
        <w:rPr>
          <w:rFonts w:ascii="Times New Roman" w:hAnsi="Times New Roman"/>
          <w:sz w:val="24"/>
          <w:szCs w:val="24"/>
          <w:lang w:eastAsia="ru-RU"/>
        </w:rPr>
        <w:t xml:space="preserve">пунктом </w:t>
      </w:r>
      <w:hyperlink w:anchor="Par121" w:history="1">
        <w:r w:rsidR="00B731F2">
          <w:rPr>
            <w:rFonts w:ascii="Times New Roman" w:hAnsi="Times New Roman"/>
            <w:sz w:val="24"/>
            <w:szCs w:val="24"/>
            <w:lang w:eastAsia="ru-RU"/>
          </w:rPr>
          <w:t>23</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КЗ x 100 x (К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 xml:space="preserve"> - максимальное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bookmarkStart w:id="10" w:name="Par121"/>
      <w:bookmarkEnd w:id="10"/>
      <w:r w:rsidRPr="00AE10E3">
        <w:rPr>
          <w:rFonts w:ascii="Times New Roman" w:hAnsi="Times New Roman"/>
          <w:sz w:val="24"/>
          <w:szCs w:val="24"/>
          <w:lang w:eastAsia="ru-RU"/>
        </w:rPr>
        <w:t>2</w:t>
      </w:r>
      <w:r w:rsidR="00AC4186">
        <w:rPr>
          <w:rFonts w:ascii="Times New Roman" w:hAnsi="Times New Roman"/>
          <w:sz w:val="24"/>
          <w:szCs w:val="24"/>
          <w:lang w:eastAsia="ru-RU"/>
        </w:rPr>
        <w:t>3</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наибольшее значение критерия (показателя), при этом заказчиком в соответствии с </w:t>
      </w:r>
      <w:hyperlink w:anchor="Par35" w:history="1">
        <w:r w:rsidRPr="00AE10E3">
          <w:rPr>
            <w:rFonts w:ascii="Times New Roman" w:hAnsi="Times New Roman"/>
            <w:sz w:val="24"/>
            <w:szCs w:val="24"/>
            <w:lang w:eastAsia="ru-RU"/>
          </w:rPr>
          <w:t>абзацем вторым пункта 11</w:t>
        </w:r>
      </w:hyperlink>
      <w:r w:rsidRPr="00AE10E3">
        <w:rPr>
          <w:rFonts w:ascii="Times New Roman" w:hAnsi="Times New Roman"/>
          <w:sz w:val="24"/>
          <w:szCs w:val="24"/>
          <w:lang w:eastAsia="ru-RU"/>
        </w:rPr>
        <w:t xml:space="preserve"> настоящих Правил установлено предельно необходимое максимальное значение,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определяется: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а) в случае если К</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 xml:space="preserve"> &lt; К</w:t>
      </w:r>
      <w:r w:rsidRPr="00AE10E3">
        <w:rPr>
          <w:rFonts w:ascii="Times New Roman" w:hAnsi="Times New Roman"/>
          <w:sz w:val="24"/>
          <w:szCs w:val="24"/>
          <w:vertAlign w:val="superscript"/>
          <w:lang w:eastAsia="ru-RU"/>
        </w:rPr>
        <w:t>пред</w:t>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КЗ x 100 x (К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r w:rsidRPr="00AE10E3">
        <w:rPr>
          <w:rFonts w:ascii="Times New Roman" w:hAnsi="Times New Roman"/>
          <w:noProof/>
          <w:position w:val="-10"/>
          <w:sz w:val="24"/>
          <w:szCs w:val="24"/>
          <w:lang w:eastAsia="ru-RU"/>
        </w:rPr>
        <w:drawing>
          <wp:inline distT="0" distB="0" distL="0" distR="0" wp14:anchorId="2C4AF9EE" wp14:editId="5362F866">
            <wp:extent cx="903605" cy="287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287020"/>
                    </a:xfrm>
                    <a:prstGeom prst="rect">
                      <a:avLst/>
                    </a:prstGeom>
                    <a:noFill/>
                    <a:ln>
                      <a:noFill/>
                    </a:ln>
                  </pic:spPr>
                </pic:pic>
              </a:graphicData>
            </a:graphic>
          </wp:inline>
        </w:drawing>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КЗ x 100 x (К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К</w:t>
      </w:r>
      <w:r w:rsidRPr="00AE10E3">
        <w:rPr>
          <w:rFonts w:ascii="Times New Roman" w:hAnsi="Times New Roman"/>
          <w:sz w:val="24"/>
          <w:szCs w:val="24"/>
          <w:vertAlign w:val="superscript"/>
          <w:lang w:eastAsia="ru-RU"/>
        </w:rPr>
        <w:t>пред</w:t>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при этом НЦБ</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 xml:space="preserve"> = КЗ x 100,</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 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 xml:space="preserve"> - максимальное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lastRenderedPageBreak/>
        <w:t>К</w:t>
      </w:r>
      <w:r w:rsidRPr="00AE10E3">
        <w:rPr>
          <w:rFonts w:ascii="Times New Roman" w:hAnsi="Times New Roman"/>
          <w:sz w:val="24"/>
          <w:szCs w:val="24"/>
          <w:vertAlign w:val="superscript"/>
          <w:lang w:eastAsia="ru-RU"/>
        </w:rPr>
        <w:t>пред</w:t>
      </w:r>
      <w:r w:rsidRPr="00AE10E3">
        <w:rPr>
          <w:rFonts w:ascii="Times New Roman" w:hAnsi="Times New Roman"/>
          <w:sz w:val="24"/>
          <w:szCs w:val="24"/>
          <w:lang w:eastAsia="ru-RU"/>
        </w:rPr>
        <w:t xml:space="preserve"> - предельно необходимое заказчику значение характеристик,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max</w:t>
      </w:r>
      <w:r w:rsidRPr="00AE10E3">
        <w:rPr>
          <w:rFonts w:ascii="Times New Roman" w:hAnsi="Times New Roman"/>
          <w:sz w:val="24"/>
          <w:szCs w:val="24"/>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1" w:name="Par137"/>
      <w:bookmarkEnd w:id="11"/>
      <w:r w:rsidRPr="00AE10E3">
        <w:rPr>
          <w:rFonts w:ascii="Times New Roman" w:hAnsi="Times New Roman"/>
          <w:sz w:val="24"/>
          <w:szCs w:val="24"/>
          <w:lang w:eastAsia="ru-RU"/>
        </w:rPr>
        <w:t>2</w:t>
      </w:r>
      <w:r w:rsidR="00AC4186">
        <w:rPr>
          <w:rFonts w:ascii="Times New Roman" w:hAnsi="Times New Roman"/>
          <w:sz w:val="24"/>
          <w:szCs w:val="24"/>
          <w:lang w:eastAsia="ru-RU"/>
        </w:rPr>
        <w:t>4</w:t>
      </w:r>
      <w:r w:rsidRPr="00AE10E3">
        <w:rPr>
          <w:rFonts w:ascii="Times New Roman" w:hAnsi="Times New Roman"/>
          <w:sz w:val="24"/>
          <w:szCs w:val="24"/>
          <w:lang w:eastAsia="ru-RU"/>
        </w:rPr>
        <w:t>.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2" w:name="Par138"/>
      <w:bookmarkEnd w:id="12"/>
      <w:r w:rsidRPr="00AE10E3">
        <w:rPr>
          <w:rFonts w:ascii="Times New Roman" w:hAnsi="Times New Roman"/>
          <w:sz w:val="24"/>
          <w:szCs w:val="24"/>
          <w:lang w:eastAsia="ru-RU"/>
        </w:rPr>
        <w:t>а) качество товаров (качество работ, качество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б) функциональные, потребительские свойства товара;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3" w:name="Par140"/>
      <w:bookmarkEnd w:id="13"/>
      <w:r w:rsidRPr="00AE10E3">
        <w:rPr>
          <w:rFonts w:ascii="Times New Roman" w:hAnsi="Times New Roman"/>
          <w:sz w:val="24"/>
          <w:szCs w:val="24"/>
          <w:lang w:eastAsia="ru-RU"/>
        </w:rPr>
        <w:t>в) соответствие экологическим нормам.</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5</w:t>
      </w:r>
      <w:r w:rsidRPr="00AE10E3">
        <w:rPr>
          <w:rFonts w:ascii="Times New Roman" w:hAnsi="Times New Roman"/>
          <w:sz w:val="24"/>
          <w:szCs w:val="24"/>
          <w:lang w:eastAsia="ru-RU"/>
        </w:rPr>
        <w:t xml:space="preserve">. Количество баллов, присваиваемых заявке (предложению) по показателям, предусмотренным </w:t>
      </w:r>
      <w:r w:rsidR="00AC4186">
        <w:rPr>
          <w:rFonts w:ascii="Times New Roman" w:hAnsi="Times New Roman"/>
          <w:sz w:val="24"/>
          <w:szCs w:val="24"/>
          <w:lang w:eastAsia="ru-RU"/>
        </w:rPr>
        <w:t xml:space="preserve">пунктом 24 </w:t>
      </w:r>
      <w:r w:rsidRPr="00AE10E3">
        <w:rPr>
          <w:rFonts w:ascii="Times New Roman" w:hAnsi="Times New Roman"/>
          <w:sz w:val="24"/>
          <w:szCs w:val="24"/>
          <w:lang w:eastAsia="ru-RU"/>
        </w:rPr>
        <w:t>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4" w:name="Par142"/>
      <w:bookmarkEnd w:id="14"/>
      <w:r w:rsidRPr="00AE10E3">
        <w:rPr>
          <w:rFonts w:ascii="Times New Roman" w:hAnsi="Times New Roman"/>
          <w:sz w:val="24"/>
          <w:szCs w:val="24"/>
          <w:lang w:eastAsia="ru-RU"/>
        </w:rPr>
        <w:t>2</w:t>
      </w:r>
      <w:r w:rsidR="00AC4186">
        <w:rPr>
          <w:rFonts w:ascii="Times New Roman" w:hAnsi="Times New Roman"/>
          <w:sz w:val="24"/>
          <w:szCs w:val="24"/>
          <w:lang w:eastAsia="ru-RU"/>
        </w:rPr>
        <w:t>6</w:t>
      </w:r>
      <w:r w:rsidRPr="00AE10E3">
        <w:rPr>
          <w:rFonts w:ascii="Times New Roman" w:hAnsi="Times New Roman"/>
          <w:sz w:val="24"/>
          <w:szCs w:val="24"/>
          <w:lang w:eastAsia="ru-RU"/>
        </w:rPr>
        <w:t xml:space="preserve">.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и деловой репутации, специалистов и иных работников определенного уровня квалификации" </w:t>
      </w:r>
      <w:r w:rsidR="00AC4186">
        <w:rPr>
          <w:rFonts w:ascii="Times New Roman" w:hAnsi="Times New Roman"/>
          <w:sz w:val="24"/>
          <w:szCs w:val="24"/>
          <w:lang w:eastAsia="ru-RU"/>
        </w:rPr>
        <w:t>быть</w:t>
      </w:r>
      <w:r w:rsidR="00AC4186">
        <w:rPr>
          <w:rFonts w:ascii="Times New Roman" w:eastAsiaTheme="minorHAnsi" w:hAnsi="Times New Roman"/>
          <w:sz w:val="24"/>
          <w:szCs w:val="24"/>
        </w:rPr>
        <w:t xml:space="preserve"> следующие показатели (с учетом особенностей, предусмотренных </w:t>
      </w:r>
      <w:hyperlink r:id="rId15" w:history="1">
        <w:r w:rsidR="00AC4186">
          <w:rPr>
            <w:rStyle w:val="a3"/>
            <w:rFonts w:ascii="Times New Roman" w:eastAsiaTheme="minorHAnsi" w:hAnsi="Times New Roman"/>
            <w:color w:val="0000FF"/>
            <w:sz w:val="24"/>
            <w:szCs w:val="24"/>
          </w:rPr>
          <w:t>пунктом 26(1)</w:t>
        </w:r>
      </w:hyperlink>
      <w:r w:rsidR="00AC4186">
        <w:rPr>
          <w:rFonts w:ascii="Times New Roman" w:eastAsiaTheme="minorHAnsi" w:hAnsi="Times New Roman"/>
          <w:sz w:val="24"/>
          <w:szCs w:val="24"/>
        </w:rPr>
        <w:t xml:space="preserve"> настоящих Правил)</w:t>
      </w:r>
      <w:r w:rsidR="00AC4186">
        <w:rPr>
          <w:rFonts w:ascii="Times New Roman" w:hAnsi="Times New Roman"/>
          <w:sz w:val="24"/>
          <w:szCs w:val="24"/>
          <w:lang w:eastAsia="ru-RU"/>
        </w:rPr>
        <w:t>:</w:t>
      </w:r>
      <w:r w:rsidRPr="00AE10E3">
        <w:rPr>
          <w:rFonts w:ascii="Times New Roman" w:hAnsi="Times New Roman"/>
          <w:sz w:val="24"/>
          <w:szCs w:val="24"/>
          <w:lang w:eastAsia="ru-RU"/>
        </w:rPr>
        <w:t>а) квалификация трудовых ресурсов (руководителей и ключевых специалистов), предлагаемых для выполнения работ, оказания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5" w:name="Par144"/>
      <w:bookmarkEnd w:id="15"/>
      <w:r w:rsidRPr="00AE10E3">
        <w:rPr>
          <w:rFonts w:ascii="Times New Roman" w:hAnsi="Times New Roman"/>
          <w:sz w:val="24"/>
          <w:szCs w:val="24"/>
          <w:lang w:eastAsia="ru-RU"/>
        </w:rPr>
        <w:t>б) опыт участника по успешной поставке товара, выполнению работ, оказанию услуг сопоставимого характера и объема;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г) обеспеченность участника закупки трудовыми ресурсами;</w:t>
      </w:r>
    </w:p>
    <w:p w:rsidR="006D684C"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д) деловая репутация участника закупки.</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r w:rsidRPr="00B731F2">
        <w:rPr>
          <w:rFonts w:ascii="Times New Roman" w:eastAsiaTheme="minorHAnsi" w:hAnsi="Times New Roman"/>
          <w:sz w:val="24"/>
          <w:szCs w:val="24"/>
        </w:rPr>
        <w:t>подпунктом "б" пункта 2</w:t>
      </w:r>
      <w:r>
        <w:rPr>
          <w:rFonts w:ascii="Times New Roman" w:eastAsiaTheme="minorHAnsi" w:hAnsi="Times New Roman"/>
          <w:sz w:val="24"/>
          <w:szCs w:val="24"/>
        </w:rPr>
        <w:t>6 настоящих Правил, формируется исключительно из следующих подпоказателей:</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общая стоимость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общее количество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наибольшая цена одного из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r w:rsidRPr="00B731F2">
        <w:rPr>
          <w:rFonts w:ascii="Times New Roman" w:eastAsiaTheme="minorHAnsi" w:hAnsi="Times New Roman"/>
          <w:sz w:val="24"/>
          <w:szCs w:val="24"/>
        </w:rPr>
        <w:t>подпунктом "б" пункта 2</w:t>
      </w:r>
      <w:r>
        <w:rPr>
          <w:rFonts w:ascii="Times New Roman" w:eastAsiaTheme="minorHAnsi" w:hAnsi="Times New Roman"/>
          <w:sz w:val="24"/>
          <w:szCs w:val="24"/>
        </w:rPr>
        <w:t>6 настоящих Правил.</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sz w:val="24"/>
          <w:szCs w:val="24"/>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w:t>
      </w:r>
      <w:r w:rsidRPr="004E5543">
        <w:rPr>
          <w:rFonts w:ascii="Times New Roman" w:eastAsiaTheme="minorHAnsi" w:hAnsi="Times New Roman"/>
          <w:color w:val="000000" w:themeColor="text1"/>
          <w:sz w:val="24"/>
          <w:szCs w:val="24"/>
        </w:rPr>
        <w:lastRenderedPageBreak/>
        <w:t>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а) общая стоимость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б) общее количество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 xml:space="preserve">26(3). Заказчик для оценки заявок (предложений) по показателям, предусмотренным </w:t>
      </w:r>
      <w:hyperlink r:id="rId16" w:history="1">
        <w:r w:rsidRPr="004E5543">
          <w:rPr>
            <w:rStyle w:val="a3"/>
            <w:rFonts w:ascii="Times New Roman" w:eastAsiaTheme="minorHAnsi" w:hAnsi="Times New Roman"/>
            <w:color w:val="000000" w:themeColor="text1"/>
            <w:sz w:val="24"/>
            <w:szCs w:val="24"/>
          </w:rPr>
          <w:t>пунктом 26(2)</w:t>
        </w:r>
      </w:hyperlink>
      <w:r w:rsidRPr="004E5543">
        <w:rPr>
          <w:rFonts w:ascii="Times New Roman" w:eastAsiaTheme="minorHAnsi" w:hAnsi="Times New Roman"/>
          <w:color w:val="000000" w:themeColor="text1"/>
          <w:sz w:val="24"/>
          <w:szCs w:val="24"/>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а) объекты капитального строительства;</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6D684C" w:rsidRPr="004E5543" w:rsidRDefault="006D684C" w:rsidP="004E554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E5543">
        <w:rPr>
          <w:rFonts w:ascii="Times New Roman" w:hAnsi="Times New Roman"/>
          <w:color w:val="000000" w:themeColor="text1"/>
          <w:sz w:val="24"/>
          <w:szCs w:val="24"/>
          <w:lang w:eastAsia="ru-RU"/>
        </w:rPr>
        <w:t>2</w:t>
      </w:r>
      <w:r w:rsidR="00AC4186" w:rsidRPr="004E5543">
        <w:rPr>
          <w:rFonts w:ascii="Times New Roman" w:hAnsi="Times New Roman"/>
          <w:color w:val="000000" w:themeColor="text1"/>
          <w:sz w:val="24"/>
          <w:szCs w:val="24"/>
          <w:lang w:eastAsia="ru-RU"/>
        </w:rPr>
        <w:t>7</w:t>
      </w:r>
      <w:r w:rsidRPr="004E5543">
        <w:rPr>
          <w:rFonts w:ascii="Times New Roman" w:hAnsi="Times New Roman"/>
          <w:color w:val="000000" w:themeColor="text1"/>
          <w:sz w:val="24"/>
          <w:szCs w:val="24"/>
          <w:lang w:eastAsia="ru-RU"/>
        </w:rPr>
        <w:t xml:space="preserve">.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86D88" w:rsidRPr="004E5543">
        <w:rPr>
          <w:rFonts w:ascii="Times New Roman" w:hAnsi="Times New Roman"/>
          <w:color w:val="000000" w:themeColor="text1"/>
          <w:sz w:val="24"/>
          <w:szCs w:val="24"/>
          <w:lang w:eastAsia="ru-RU"/>
        </w:rPr>
        <w:t>договор</w:t>
      </w:r>
      <w:r w:rsidRPr="004E5543">
        <w:rPr>
          <w:rFonts w:ascii="Times New Roman" w:hAnsi="Times New Roman"/>
          <w:color w:val="000000" w:themeColor="text1"/>
          <w:sz w:val="24"/>
          <w:szCs w:val="24"/>
          <w:lang w:eastAsia="ru-RU"/>
        </w:rPr>
        <w:t xml:space="preserve">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ar33" w:history="1">
        <w:r w:rsidRPr="004E5543">
          <w:rPr>
            <w:rFonts w:ascii="Times New Roman" w:hAnsi="Times New Roman"/>
            <w:color w:val="000000" w:themeColor="text1"/>
            <w:sz w:val="24"/>
            <w:szCs w:val="24"/>
            <w:lang w:eastAsia="ru-RU"/>
          </w:rPr>
          <w:t>пунктом 10</w:t>
        </w:r>
      </w:hyperlink>
      <w:r w:rsidRPr="004E5543">
        <w:rPr>
          <w:rFonts w:ascii="Times New Roman" w:hAnsi="Times New Roman"/>
          <w:color w:val="000000" w:themeColor="text1"/>
          <w:sz w:val="24"/>
          <w:szCs w:val="24"/>
          <w:lang w:eastAsia="ru-RU"/>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35" w:history="1">
        <w:r w:rsidRPr="004E5543">
          <w:rPr>
            <w:rFonts w:ascii="Times New Roman" w:hAnsi="Times New Roman"/>
            <w:color w:val="000000" w:themeColor="text1"/>
            <w:sz w:val="24"/>
            <w:szCs w:val="24"/>
            <w:lang w:eastAsia="ru-RU"/>
          </w:rPr>
          <w:t>абзацем вторым пункта 11</w:t>
        </w:r>
      </w:hyperlink>
      <w:r w:rsidRPr="004E5543">
        <w:rPr>
          <w:rFonts w:ascii="Times New Roman" w:hAnsi="Times New Roman"/>
          <w:color w:val="000000" w:themeColor="text1"/>
          <w:sz w:val="24"/>
          <w:szCs w:val="24"/>
          <w:lang w:eastAsia="ru-RU"/>
        </w:rPr>
        <w:t xml:space="preserve"> настоящих Правил.</w:t>
      </w:r>
    </w:p>
    <w:p w:rsidR="006D684C" w:rsidRPr="004E5543" w:rsidRDefault="006D684C" w:rsidP="004E554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E5543">
        <w:rPr>
          <w:rFonts w:ascii="Times New Roman" w:hAnsi="Times New Roman"/>
          <w:color w:val="000000" w:themeColor="text1"/>
          <w:sz w:val="24"/>
          <w:szCs w:val="24"/>
          <w:lang w:eastAsia="ru-RU"/>
        </w:rPr>
        <w:t>2</w:t>
      </w:r>
      <w:r w:rsidR="00AC4186" w:rsidRPr="004E5543">
        <w:rPr>
          <w:rFonts w:ascii="Times New Roman" w:hAnsi="Times New Roman"/>
          <w:color w:val="000000" w:themeColor="text1"/>
          <w:sz w:val="24"/>
          <w:szCs w:val="24"/>
          <w:lang w:eastAsia="ru-RU"/>
        </w:rPr>
        <w:t>8</w:t>
      </w:r>
      <w:r w:rsidRPr="004E5543">
        <w:rPr>
          <w:rFonts w:ascii="Times New Roman" w:hAnsi="Times New Roman"/>
          <w:color w:val="000000" w:themeColor="text1"/>
          <w:sz w:val="24"/>
          <w:szCs w:val="24"/>
          <w:lang w:eastAsia="ru-RU"/>
        </w:rPr>
        <w:t>.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bookmarkStart w:id="16" w:name="Par150"/>
      <w:bookmarkEnd w:id="16"/>
    </w:p>
    <w:p w:rsidR="00B25CE2" w:rsidRPr="00AE10E3" w:rsidRDefault="00B25CE2">
      <w:pPr>
        <w:spacing w:after="160" w:line="259" w:lineRule="auto"/>
        <w:rPr>
          <w:rFonts w:ascii="Times New Roman" w:hAnsi="Times New Roman"/>
          <w:sz w:val="24"/>
          <w:szCs w:val="24"/>
          <w:lang w:eastAsia="ru-RU"/>
        </w:rPr>
      </w:pPr>
      <w:r w:rsidRPr="00AE10E3">
        <w:rPr>
          <w:rFonts w:ascii="Times New Roman" w:hAnsi="Times New Roman"/>
          <w:sz w:val="24"/>
          <w:szCs w:val="24"/>
          <w:lang w:eastAsia="ru-RU"/>
        </w:rPr>
        <w:br w:type="page"/>
      </w:r>
    </w:p>
    <w:p w:rsidR="006D684C" w:rsidRPr="00AE10E3" w:rsidRDefault="006D684C" w:rsidP="006D684C">
      <w:pPr>
        <w:autoSpaceDE w:val="0"/>
        <w:autoSpaceDN w:val="0"/>
        <w:adjustRightInd w:val="0"/>
        <w:spacing w:after="0" w:line="240" w:lineRule="auto"/>
        <w:jc w:val="right"/>
        <w:outlineLvl w:val="0"/>
        <w:rPr>
          <w:rFonts w:ascii="Times New Roman" w:hAnsi="Times New Roman"/>
          <w:sz w:val="24"/>
          <w:szCs w:val="24"/>
          <w:lang w:eastAsia="ru-RU"/>
        </w:rPr>
      </w:pPr>
      <w:r w:rsidRPr="00AE10E3">
        <w:rPr>
          <w:rFonts w:ascii="Times New Roman" w:hAnsi="Times New Roman"/>
          <w:sz w:val="24"/>
          <w:szCs w:val="24"/>
          <w:lang w:eastAsia="ru-RU"/>
        </w:rPr>
        <w:lastRenderedPageBreak/>
        <w:t>Приложение</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к Правилам оценки заявок,</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окончательных предложений участников</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закупки товаров, работ, услуг</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bookmarkStart w:id="17" w:name="Par163"/>
      <w:bookmarkEnd w:id="17"/>
      <w:r w:rsidRPr="00AE10E3">
        <w:rPr>
          <w:rFonts w:ascii="Times New Roman" w:hAnsi="Times New Roman"/>
          <w:sz w:val="24"/>
          <w:szCs w:val="24"/>
          <w:lang w:eastAsia="ru-RU"/>
        </w:rPr>
        <w:t>ПРЕДЕЛЬНЫЕ ВЕЛИЧИНЫ</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ЗНАЧИМОСТИ КРИТЕРИЕВ ОЦЕНКИ ЗАЯВОК, ОКОНЧАТЕЛЬНЫХ</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ПРЕДЛОЖЕНИЙ УЧАСТНИКОВ ЗАКУПКИ ТОВАРОВ, РАБОТ, УСЛУГ</w:t>
      </w:r>
    </w:p>
    <w:p w:rsidR="006D684C" w:rsidRPr="00AE10E3" w:rsidRDefault="006D684C" w:rsidP="006D684C">
      <w:pPr>
        <w:autoSpaceDE w:val="0"/>
        <w:autoSpaceDN w:val="0"/>
        <w:adjustRightInd w:val="0"/>
        <w:spacing w:after="0" w:line="240" w:lineRule="auto"/>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AE10E3" w:rsidRPr="00AE10E3" w:rsidTr="00627263">
        <w:tc>
          <w:tcPr>
            <w:tcW w:w="5580" w:type="dxa"/>
            <w:gridSpan w:val="2"/>
            <w:vMerge w:val="restart"/>
            <w:tcBorders>
              <w:top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4080" w:type="dxa"/>
            <w:gridSpan w:val="2"/>
            <w:tcBorders>
              <w:top w:val="single" w:sz="4" w:space="0" w:color="auto"/>
              <w:left w:val="single" w:sz="4" w:space="0" w:color="auto"/>
              <w:bottom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Предельные величины значимости критериев оценки</w:t>
            </w:r>
          </w:p>
        </w:tc>
      </w:tr>
      <w:tr w:rsidR="00AE10E3" w:rsidRPr="00AE10E3" w:rsidTr="00627263">
        <w:tc>
          <w:tcPr>
            <w:tcW w:w="5580" w:type="dxa"/>
            <w:gridSpan w:val="2"/>
            <w:vMerge/>
            <w:tcBorders>
              <w:top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максимальная значимость нестоимостных критериев оценки (процентов)</w:t>
            </w:r>
          </w:p>
        </w:tc>
      </w:tr>
      <w:tr w:rsidR="00AE10E3" w:rsidRPr="00AE10E3" w:rsidTr="00627263">
        <w:tc>
          <w:tcPr>
            <w:tcW w:w="5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1.</w:t>
            </w:r>
          </w:p>
        </w:tc>
        <w:tc>
          <w:tcPr>
            <w:tcW w:w="5040" w:type="dxa"/>
            <w:tcBorders>
              <w:top w:val="single" w:sz="4" w:space="0" w:color="auto"/>
            </w:tcBorders>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Товары, за исключением отдельных видов товаров</w:t>
            </w:r>
          </w:p>
        </w:tc>
        <w:tc>
          <w:tcPr>
            <w:tcW w:w="20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c>
          <w:tcPr>
            <w:tcW w:w="20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2.</w:t>
            </w: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Работы, услуги за исключением отдельных видов работ,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w:t>
            </w: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Отдельные виды товаров, работ,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выполнение аварийно-спасательных работ</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 xml:space="preserve">оказание медицинских услуг, образовательных услуг (обучение, воспитание), юридических </w:t>
            </w:r>
            <w:r w:rsidRPr="00AE10E3">
              <w:rPr>
                <w:rFonts w:ascii="Times New Roman" w:hAnsi="Times New Roman"/>
                <w:sz w:val="24"/>
                <w:szCs w:val="24"/>
                <w:lang w:eastAsia="ru-RU"/>
              </w:rPr>
              <w:lastRenderedPageBreak/>
              <w:t>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lastRenderedPageBreak/>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услуг по проведению экспертизы, аудиторских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услуг специализированной организации</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создание произведений литературы и искусства в отношении объектов</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100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20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80</w:t>
            </w:r>
          </w:p>
        </w:tc>
      </w:tr>
      <w:tr w:rsidR="00B731F2" w:rsidRPr="00AE10E3" w:rsidTr="00627263">
        <w:trPr>
          <w:gridAfter w:val="3"/>
          <w:wAfter w:w="9120" w:type="dxa"/>
        </w:trPr>
        <w:tc>
          <w:tcPr>
            <w:tcW w:w="540" w:type="dxa"/>
          </w:tcPr>
          <w:p w:rsidR="00B731F2" w:rsidRPr="00AE10E3" w:rsidRDefault="00B731F2" w:rsidP="00627263">
            <w:pPr>
              <w:autoSpaceDE w:val="0"/>
              <w:autoSpaceDN w:val="0"/>
              <w:adjustRightInd w:val="0"/>
              <w:spacing w:after="0" w:line="240" w:lineRule="auto"/>
              <w:rPr>
                <w:rFonts w:ascii="Times New Roman" w:hAnsi="Times New Roman"/>
                <w:sz w:val="24"/>
                <w:szCs w:val="24"/>
                <w:lang w:eastAsia="ru-RU"/>
              </w:rPr>
            </w:pPr>
          </w:p>
        </w:tc>
      </w:tr>
      <w:tr w:rsidR="006D684C" w:rsidRPr="00AE10E3" w:rsidTr="00627263">
        <w:tc>
          <w:tcPr>
            <w:tcW w:w="540" w:type="dxa"/>
            <w:tcBorders>
              <w:bottom w:val="single" w:sz="4" w:space="0" w:color="auto"/>
            </w:tcBorders>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p>
        </w:tc>
        <w:tc>
          <w:tcPr>
            <w:tcW w:w="5040" w:type="dxa"/>
            <w:tcBorders>
              <w:bottom w:val="single" w:sz="4" w:space="0" w:color="auto"/>
            </w:tcBorders>
          </w:tcPr>
          <w:p w:rsidR="006D684C" w:rsidRPr="00AE10E3" w:rsidRDefault="00B731F2" w:rsidP="00627263">
            <w:pPr>
              <w:autoSpaceDE w:val="0"/>
              <w:autoSpaceDN w:val="0"/>
              <w:adjustRightInd w:val="0"/>
              <w:spacing w:after="0" w:line="240" w:lineRule="auto"/>
              <w:rPr>
                <w:rFonts w:ascii="Times New Roman" w:hAnsi="Times New Roman"/>
                <w:sz w:val="24"/>
                <w:szCs w:val="24"/>
                <w:lang w:eastAsia="ru-RU"/>
              </w:rPr>
            </w:pPr>
            <w:r>
              <w:rPr>
                <w:rFonts w:ascii="Times New Roman" w:eastAsiaTheme="minorHAnsi" w:hAnsi="Times New Roman"/>
                <w:sz w:val="24"/>
                <w:szCs w:val="24"/>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bottom w:val="single" w:sz="4" w:space="0" w:color="auto"/>
            </w:tcBorders>
          </w:tcPr>
          <w:p w:rsidR="006D684C" w:rsidRPr="00AE10E3" w:rsidRDefault="00B731F2" w:rsidP="006272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6D684C" w:rsidRPr="00AE10E3">
              <w:rPr>
                <w:rFonts w:ascii="Times New Roman" w:hAnsi="Times New Roman"/>
                <w:sz w:val="24"/>
                <w:szCs w:val="24"/>
                <w:lang w:eastAsia="ru-RU"/>
              </w:rPr>
              <w:t>0</w:t>
            </w:r>
          </w:p>
        </w:tc>
        <w:tc>
          <w:tcPr>
            <w:tcW w:w="2040" w:type="dxa"/>
            <w:tcBorders>
              <w:bottom w:val="single" w:sz="4" w:space="0" w:color="auto"/>
            </w:tcBorders>
          </w:tcPr>
          <w:p w:rsidR="006D684C" w:rsidRPr="00AE10E3" w:rsidRDefault="00B731F2" w:rsidP="006272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6D684C" w:rsidRPr="00AE10E3">
              <w:rPr>
                <w:rFonts w:ascii="Times New Roman" w:hAnsi="Times New Roman"/>
                <w:sz w:val="24"/>
                <w:szCs w:val="24"/>
                <w:lang w:eastAsia="ru-RU"/>
              </w:rPr>
              <w:t>0</w:t>
            </w:r>
          </w:p>
        </w:tc>
      </w:tr>
    </w:tbl>
    <w:p w:rsidR="006D684C" w:rsidRPr="00AE10E3" w:rsidRDefault="006D684C" w:rsidP="006D684C">
      <w:pPr>
        <w:pStyle w:val="ConsPlusNormal"/>
        <w:ind w:left="1320"/>
        <w:jc w:val="both"/>
        <w:rPr>
          <w:rFonts w:eastAsia="Calibri"/>
          <w:sz w:val="28"/>
          <w:szCs w:val="28"/>
        </w:rPr>
      </w:pPr>
    </w:p>
    <w:p w:rsidR="00653C44" w:rsidRPr="00AE10E3" w:rsidRDefault="00653C44"/>
    <w:sectPr w:rsidR="00653C44" w:rsidRPr="00AE10E3" w:rsidSect="00157F83">
      <w:footerReference w:type="default" r:id="rId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2A" w:rsidRDefault="007A692A" w:rsidP="00157F83">
      <w:pPr>
        <w:spacing w:after="0" w:line="240" w:lineRule="auto"/>
      </w:pPr>
      <w:r>
        <w:separator/>
      </w:r>
    </w:p>
  </w:endnote>
  <w:endnote w:type="continuationSeparator" w:id="0">
    <w:p w:rsidR="007A692A" w:rsidRDefault="007A692A" w:rsidP="0015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86893"/>
      <w:docPartObj>
        <w:docPartGallery w:val="Page Numbers (Bottom of Page)"/>
        <w:docPartUnique/>
      </w:docPartObj>
    </w:sdtPr>
    <w:sdtEndPr/>
    <w:sdtContent>
      <w:p w:rsidR="00157F83" w:rsidRDefault="00157F83">
        <w:pPr>
          <w:pStyle w:val="a8"/>
          <w:jc w:val="center"/>
        </w:pPr>
        <w:r>
          <w:fldChar w:fldCharType="begin"/>
        </w:r>
        <w:r>
          <w:instrText>PAGE   \* MERGEFORMAT</w:instrText>
        </w:r>
        <w:r>
          <w:fldChar w:fldCharType="separate"/>
        </w:r>
        <w:r w:rsidR="00A13BD7">
          <w:rPr>
            <w:noProof/>
          </w:rPr>
          <w:t>2</w:t>
        </w:r>
        <w:r>
          <w:fldChar w:fldCharType="end"/>
        </w:r>
      </w:p>
    </w:sdtContent>
  </w:sdt>
  <w:p w:rsidR="00157F83" w:rsidRDefault="00157F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2A" w:rsidRDefault="007A692A" w:rsidP="00157F83">
      <w:pPr>
        <w:spacing w:after="0" w:line="240" w:lineRule="auto"/>
      </w:pPr>
      <w:r>
        <w:separator/>
      </w:r>
    </w:p>
  </w:footnote>
  <w:footnote w:type="continuationSeparator" w:id="0">
    <w:p w:rsidR="007A692A" w:rsidRDefault="007A692A" w:rsidP="00157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4C"/>
    <w:rsid w:val="000018B8"/>
    <w:rsid w:val="00157F83"/>
    <w:rsid w:val="004A720D"/>
    <w:rsid w:val="004B349E"/>
    <w:rsid w:val="004E5543"/>
    <w:rsid w:val="00586D88"/>
    <w:rsid w:val="00653C44"/>
    <w:rsid w:val="006D684C"/>
    <w:rsid w:val="007A4BCF"/>
    <w:rsid w:val="007A692A"/>
    <w:rsid w:val="0091155C"/>
    <w:rsid w:val="00980F57"/>
    <w:rsid w:val="00A13BD7"/>
    <w:rsid w:val="00A918F0"/>
    <w:rsid w:val="00AC4186"/>
    <w:rsid w:val="00AE10E3"/>
    <w:rsid w:val="00B25CE2"/>
    <w:rsid w:val="00B731F2"/>
    <w:rsid w:val="00B8743C"/>
    <w:rsid w:val="00F37BB5"/>
    <w:rsid w:val="00FA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D68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C4186"/>
    <w:rPr>
      <w:color w:val="0563C1" w:themeColor="hyperlink"/>
      <w:u w:val="single"/>
    </w:rPr>
  </w:style>
  <w:style w:type="paragraph" w:styleId="a4">
    <w:name w:val="Balloon Text"/>
    <w:basedOn w:val="a"/>
    <w:link w:val="a5"/>
    <w:uiPriority w:val="99"/>
    <w:semiHidden/>
    <w:unhideWhenUsed/>
    <w:rsid w:val="00AC41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186"/>
    <w:rPr>
      <w:rFonts w:ascii="Segoe UI" w:eastAsia="Calibri" w:hAnsi="Segoe UI" w:cs="Segoe UI"/>
      <w:sz w:val="18"/>
      <w:szCs w:val="18"/>
    </w:rPr>
  </w:style>
  <w:style w:type="paragraph" w:styleId="a6">
    <w:name w:val="header"/>
    <w:basedOn w:val="a"/>
    <w:link w:val="a7"/>
    <w:uiPriority w:val="99"/>
    <w:unhideWhenUsed/>
    <w:rsid w:val="00157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F83"/>
    <w:rPr>
      <w:rFonts w:ascii="Calibri" w:eastAsia="Calibri" w:hAnsi="Calibri" w:cs="Times New Roman"/>
    </w:rPr>
  </w:style>
  <w:style w:type="paragraph" w:styleId="a8">
    <w:name w:val="footer"/>
    <w:basedOn w:val="a"/>
    <w:link w:val="a9"/>
    <w:uiPriority w:val="99"/>
    <w:unhideWhenUsed/>
    <w:rsid w:val="00157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F8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D68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C4186"/>
    <w:rPr>
      <w:color w:val="0563C1" w:themeColor="hyperlink"/>
      <w:u w:val="single"/>
    </w:rPr>
  </w:style>
  <w:style w:type="paragraph" w:styleId="a4">
    <w:name w:val="Balloon Text"/>
    <w:basedOn w:val="a"/>
    <w:link w:val="a5"/>
    <w:uiPriority w:val="99"/>
    <w:semiHidden/>
    <w:unhideWhenUsed/>
    <w:rsid w:val="00AC41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186"/>
    <w:rPr>
      <w:rFonts w:ascii="Segoe UI" w:eastAsia="Calibri" w:hAnsi="Segoe UI" w:cs="Segoe UI"/>
      <w:sz w:val="18"/>
      <w:szCs w:val="18"/>
    </w:rPr>
  </w:style>
  <w:style w:type="paragraph" w:styleId="a6">
    <w:name w:val="header"/>
    <w:basedOn w:val="a"/>
    <w:link w:val="a7"/>
    <w:uiPriority w:val="99"/>
    <w:unhideWhenUsed/>
    <w:rsid w:val="00157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F83"/>
    <w:rPr>
      <w:rFonts w:ascii="Calibri" w:eastAsia="Calibri" w:hAnsi="Calibri" w:cs="Times New Roman"/>
    </w:rPr>
  </w:style>
  <w:style w:type="paragraph" w:styleId="a8">
    <w:name w:val="footer"/>
    <w:basedOn w:val="a"/>
    <w:link w:val="a9"/>
    <w:uiPriority w:val="99"/>
    <w:unhideWhenUsed/>
    <w:rsid w:val="00157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F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84">
      <w:bodyDiv w:val="1"/>
      <w:marLeft w:val="0"/>
      <w:marRight w:val="0"/>
      <w:marTop w:val="0"/>
      <w:marBottom w:val="0"/>
      <w:divBdr>
        <w:top w:val="none" w:sz="0" w:space="0" w:color="auto"/>
        <w:left w:val="none" w:sz="0" w:space="0" w:color="auto"/>
        <w:bottom w:val="none" w:sz="0" w:space="0" w:color="auto"/>
        <w:right w:val="none" w:sz="0" w:space="0" w:color="auto"/>
      </w:divBdr>
    </w:div>
    <w:div w:id="2646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284DD724183A52E6458045BAA1B07343D5EF08A8EB7EEB3481AC9E97E26D5FF36FC7D200357212AE4DC4B6DB9A2CC27D852CD6ODsAJ" TargetMode="External"/><Relationship Id="rId13" Type="http://schemas.openxmlformats.org/officeDocument/2006/relationships/image" Target="media/image5.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60E58D8A9444F673A34049069653655E46F48D0F4D39BE1DC9353BA97B07D99A80CBAA9743380B0F597F8252BB407843F8C9D7X2I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B29C73099BBC333D41BFCA38A01B1379FF3CF35BA19ED874EFE1D00D8ABC9D57113D0B076CBD0C8667C9F68AED18F89DE5AB55MBH9K"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6EDD-1B41-44D0-AAC0-B2A05247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Наталья Евгеньевна</dc:creator>
  <cp:lastModifiedBy>Пользователь</cp:lastModifiedBy>
  <cp:revision>2</cp:revision>
  <dcterms:created xsi:type="dcterms:W3CDTF">2020-05-12T05:42:00Z</dcterms:created>
  <dcterms:modified xsi:type="dcterms:W3CDTF">2020-05-12T05:42:00Z</dcterms:modified>
</cp:coreProperties>
</file>